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54D0">
      <w:pPr>
        <w:rPr>
          <w:rFonts w:eastAsia="Times New Roman"/>
        </w:rPr>
      </w:pPr>
      <w:r>
        <w:rPr>
          <w:rFonts w:eastAsia="Times New Roman"/>
        </w:rPr>
        <w:t>﻿</w:t>
      </w:r>
    </w:p>
    <w:p w:rsidR="00000000" w:rsidRDefault="001854D0">
      <w:pPr>
        <w:shd w:val="clear" w:color="auto" w:fill="FFFFFF"/>
        <w:divId w:val="62666050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1854D0">
      <w:pPr>
        <w:shd w:val="clear" w:color="auto" w:fill="FFFFFF"/>
        <w:divId w:val="144430243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19.00.00.00 Халқаро муносабатлар. Халқаро ҳуқуқ / 19.03.00.00 Ижтимоий-маданий масалалар бўйича ҳамкорлик / 19.03.04.00 Соғлиқни сақлаш бўйича битимлар]</w:t>
      </w:r>
    </w:p>
    <w:p w:rsidR="00000000" w:rsidRDefault="001854D0">
      <w:pPr>
        <w:shd w:val="clear" w:color="auto" w:fill="FFFFFF"/>
        <w:divId w:val="210942382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1854D0">
      <w:pPr>
        <w:shd w:val="clear" w:color="auto" w:fill="FFFFFF"/>
        <w:divId w:val="61363351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Ташқи сиёсат ва халқаро муносабатлар / Халқаро шартномалар (битмлар)]</w:t>
      </w:r>
    </w:p>
    <w:p w:rsidR="00000000" w:rsidRDefault="001854D0">
      <w:pPr>
        <w:shd w:val="clear" w:color="auto" w:fill="FFFFFF"/>
        <w:jc w:val="center"/>
        <w:divId w:val="1661882158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1854D0">
      <w:pPr>
        <w:shd w:val="clear" w:color="auto" w:fill="FFFFFF"/>
        <w:jc w:val="center"/>
        <w:divId w:val="1661882158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000000" w:rsidRDefault="001854D0">
      <w:pPr>
        <w:shd w:val="clear" w:color="auto" w:fill="FFFFFF"/>
        <w:jc w:val="center"/>
        <w:divId w:val="89667543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Халқаро шартномани тасдиқлаш тўғрисида</w:t>
      </w:r>
    </w:p>
    <w:p w:rsidR="00000000" w:rsidRDefault="001854D0">
      <w:pPr>
        <w:shd w:val="clear" w:color="auto" w:fill="FFFFFF"/>
        <w:ind w:firstLine="851"/>
        <w:jc w:val="both"/>
        <w:divId w:val="166188215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Шанхай ҳамкорлик ташкилотига аъзо давлатлар ҳукуматлари ўртасида </w:t>
      </w:r>
      <w:proofErr w:type="gramStart"/>
      <w:r>
        <w:rPr>
          <w:rFonts w:eastAsia="Times New Roman"/>
          <w:color w:val="000000"/>
        </w:rPr>
        <w:t>соғли</w:t>
      </w:r>
      <w:proofErr w:type="gramEnd"/>
      <w:r>
        <w:rPr>
          <w:rFonts w:eastAsia="Times New Roman"/>
          <w:color w:val="000000"/>
        </w:rPr>
        <w:t>қни сақлаш соҳасида ҳамкорлик қилиш тўғрисида 2011 йил 15 июнь куни Остона шаҳрида имзоланган Бити</w:t>
      </w:r>
      <w:r>
        <w:rPr>
          <w:rFonts w:eastAsia="Times New Roman"/>
          <w:color w:val="000000"/>
        </w:rPr>
        <w:t>м тасдиқлансин.</w:t>
      </w:r>
    </w:p>
    <w:p w:rsidR="00000000" w:rsidRDefault="001854D0">
      <w:pPr>
        <w:shd w:val="clear" w:color="auto" w:fill="FFFFFF"/>
        <w:ind w:firstLine="851"/>
        <w:jc w:val="both"/>
        <w:divId w:val="166188215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Ўзбекистон Республикаси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оғлиқни сақлаш вазирлиги мазкур халқаро шартномани амалга ошириш учун масъул бўлган ваколатли орган этиб белгилансин.</w:t>
      </w:r>
    </w:p>
    <w:p w:rsidR="00000000" w:rsidRDefault="001854D0">
      <w:pPr>
        <w:shd w:val="clear" w:color="auto" w:fill="FFFFFF"/>
        <w:ind w:firstLine="851"/>
        <w:jc w:val="both"/>
        <w:divId w:val="166188215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Ўзбекистон Республикаси Ташқи ишлар вазирлиги Ўзбекистон Республикаси мазкур халқаро шартно</w:t>
      </w:r>
      <w:r>
        <w:rPr>
          <w:rFonts w:eastAsia="Times New Roman"/>
          <w:color w:val="000000"/>
        </w:rPr>
        <w:t>манинг кучга кириши учун зарур бўлган ички давлат тартиб-таомилларини бажарганлиги тўғрисида депозитарийга тегишли билдиришнома юборсин.</w:t>
      </w:r>
    </w:p>
    <w:p w:rsidR="00000000" w:rsidRDefault="001854D0">
      <w:pPr>
        <w:shd w:val="clear" w:color="auto" w:fill="FFFFFF"/>
        <w:ind w:firstLine="851"/>
        <w:jc w:val="both"/>
        <w:divId w:val="166188215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Ўзбекистон Республикаси Вазирлар Маҳкамаси ҳамда тегишли вазирликлар ва идораларнинг раҳбарлари мазкур халқаро шартн</w:t>
      </w:r>
      <w:r>
        <w:rPr>
          <w:rFonts w:eastAsia="Times New Roman"/>
          <w:color w:val="000000"/>
        </w:rPr>
        <w:t>ома кучга киргандан сўнг Ўзбекистон Республикасининг мажбуриятлари бажарилиши устидан назоратни белгиланган тартибда таъминласин.</w:t>
      </w:r>
    </w:p>
    <w:p w:rsidR="00000000" w:rsidRDefault="001854D0">
      <w:pPr>
        <w:shd w:val="clear" w:color="auto" w:fill="FFFFFF"/>
        <w:ind w:firstLine="851"/>
        <w:jc w:val="both"/>
        <w:divId w:val="166188215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Ушбу қарорнинг ижросини назорат қилиш Ўзбекистон Республикасининг Бош вазири Ш. Мирзиёев зиммасига юклансин.</w:t>
      </w:r>
    </w:p>
    <w:p w:rsidR="00000000" w:rsidRDefault="001854D0">
      <w:pPr>
        <w:shd w:val="clear" w:color="auto" w:fill="FFFFFF"/>
        <w:jc w:val="right"/>
        <w:divId w:val="1510485156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 Рес</w:t>
      </w:r>
      <w:r>
        <w:rPr>
          <w:rFonts w:eastAsia="Times New Roman"/>
          <w:b/>
          <w:bCs/>
          <w:color w:val="000000"/>
        </w:rPr>
        <w:t>публикаси Президенти И. КАРИМОВ</w:t>
      </w:r>
    </w:p>
    <w:p w:rsidR="00000000" w:rsidRDefault="001854D0">
      <w:pPr>
        <w:shd w:val="clear" w:color="auto" w:fill="FFFFFF"/>
        <w:jc w:val="center"/>
        <w:divId w:val="92545644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 ш.,</w:t>
      </w:r>
    </w:p>
    <w:p w:rsidR="00000000" w:rsidRDefault="001854D0">
      <w:pPr>
        <w:shd w:val="clear" w:color="auto" w:fill="FFFFFF"/>
        <w:jc w:val="center"/>
        <w:divId w:val="79884015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2016 йил 17 июнь,</w:t>
      </w:r>
    </w:p>
    <w:p w:rsidR="00000000" w:rsidRDefault="001854D0">
      <w:pPr>
        <w:shd w:val="clear" w:color="auto" w:fill="FFFFFF"/>
        <w:jc w:val="center"/>
        <w:divId w:val="1902911087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П</w:t>
      </w:r>
      <w:proofErr w:type="gramEnd"/>
      <w:r>
        <w:rPr>
          <w:rFonts w:eastAsia="Times New Roman"/>
          <w:color w:val="000000"/>
          <w:sz w:val="22"/>
          <w:szCs w:val="22"/>
        </w:rPr>
        <w:t>Қ-2550-сон</w:t>
      </w:r>
    </w:p>
    <w:p w:rsidR="00000000" w:rsidRDefault="001854D0">
      <w:pPr>
        <w:shd w:val="clear" w:color="auto" w:fill="FFFFFF"/>
        <w:divId w:val="1661882158"/>
        <w:rPr>
          <w:rFonts w:eastAsia="Times New Roman"/>
        </w:rPr>
      </w:pPr>
    </w:p>
    <w:p w:rsidR="001854D0" w:rsidRDefault="001854D0">
      <w:pPr>
        <w:shd w:val="clear" w:color="auto" w:fill="FFFFFF"/>
        <w:jc w:val="center"/>
        <w:divId w:val="636956704"/>
        <w:rPr>
          <w:rFonts w:eastAsia="Times New Roman"/>
          <w:i/>
          <w:iCs/>
          <w:color w:val="800000"/>
          <w:sz w:val="22"/>
          <w:szCs w:val="22"/>
        </w:rPr>
      </w:pPr>
      <w:bookmarkStart w:id="0" w:name="_GoBack"/>
      <w:bookmarkEnd w:id="0"/>
    </w:p>
    <w:sectPr w:rsidR="001854D0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0AFB"/>
    <w:rsid w:val="001854D0"/>
    <w:rsid w:val="009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215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50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82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5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44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15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08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ПҚ-2550 17.06.2016</vt:lpstr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ПҚ-2550 17.06.2016</dc:title>
  <dc:creator>O'QUVCHI-1</dc:creator>
  <cp:lastModifiedBy>O'QUVCHI-1</cp:lastModifiedBy>
  <cp:revision>2</cp:revision>
  <dcterms:created xsi:type="dcterms:W3CDTF">2019-03-03T18:27:00Z</dcterms:created>
  <dcterms:modified xsi:type="dcterms:W3CDTF">2019-03-03T18:27:00Z</dcterms:modified>
</cp:coreProperties>
</file>